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ECD5" w14:textId="77777777" w:rsidR="00F3666F" w:rsidRPr="00F3666F" w:rsidRDefault="00F3666F" w:rsidP="00F3666F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US" w:eastAsia="it-IT"/>
          <w14:ligatures w14:val="none"/>
        </w:rPr>
        <w:t>World Oral Health Day – March 20, 2025</w:t>
      </w:r>
    </w:p>
    <w:p w14:paraId="03FD7023" w14:textId="77777777" w:rsidR="00F3666F" w:rsidRP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On March 20, we celebrate World Oral Health Day.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This year’s slogan is </w:t>
      </w:r>
      <w:r w:rsidRPr="00F3666F">
        <w:rPr>
          <w:rFonts w:ascii="Aptos" w:eastAsia="Times New Roman" w:hAnsi="Aptos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“Mind in Hand – for Mouth and Teeth.”</w:t>
      </w:r>
    </w:p>
    <w:p w14:paraId="2CC3B081" w14:textId="7C47E39A" w:rsidR="00F3666F" w:rsidRP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To celebrate the occasion, the oral health education team at the Novo mesto Health Center organized an engaging program at our information stand in the main hall.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We educated visitors on the importance of oral health and demonstrated proper tooth-brushing techniques with models. Simultaneously, we provided them with practical tools frequently used for maintaining good oral hygiene.</w:t>
      </w:r>
    </w:p>
    <w:p w14:paraId="139B176A" w14:textId="66ADD3A2" w:rsidR="00F3666F" w:rsidRP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General and oral health are deeply linked because the state of the mouth impacts overall health</w:t>
      </w: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and 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vice</w:t>
      </w: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versa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. Some dental diseases and conditions can affect other parts of the body, while illnesses elsewhere can raise the risk of oral 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issues. To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maintain good oral health and prevent 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problem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s with teeth and gums, it is important to follow the basic recommendations for oral hygiene.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</w:r>
    </w:p>
    <w:p w14:paraId="28451377" w14:textId="10687D49" w:rsidR="00F3666F" w:rsidRP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Here are some key tips:</w:t>
      </w:r>
    </w:p>
    <w:p w14:paraId="34974989" w14:textId="77777777" w:rsidR="00F3666F" w:rsidRPr="00F3666F" w:rsidRDefault="00F3666F" w:rsidP="00F3666F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Brush your teeth twice daily.</w:t>
      </w:r>
    </w:p>
    <w:p w14:paraId="2AECDCF2" w14:textId="77777777" w:rsidR="00F3666F" w:rsidRPr="00F3666F" w:rsidRDefault="00F3666F" w:rsidP="00F3666F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Use a soft-bristled toothbrush with straight-cut fibers and/or an electric sonic toothbrush.</w:t>
      </w:r>
    </w:p>
    <w:p w14:paraId="5BE4F106" w14:textId="77777777" w:rsidR="00F3666F" w:rsidRPr="00F3666F" w:rsidRDefault="00F3666F" w:rsidP="00F3666F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Select a toothpaste containing fluoride in the right amount and concentration:</w:t>
      </w:r>
    </w:p>
    <w:p w14:paraId="3D13C43F" w14:textId="57BA6317" w:rsidR="00F3666F" w:rsidRDefault="00F3666F" w:rsidP="00F3666F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Up to 2 years old: a rice-grain-sized amount of toothpaste with 1000 ppm fluoride (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ppmF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). From 2 to 6 years: a pea-sized amount of toothpaste with 1000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ppmF</w:t>
      </w:r>
      <w:proofErr w:type="spellEnd"/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. </w:t>
      </w:r>
    </w:p>
    <w:p w14:paraId="080967AC" w14:textId="593CA790" w:rsidR="00F3666F" w:rsidRDefault="00F3666F" w:rsidP="00F3666F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From 6 years and older: 1–2 cm of toothpaste with 1450 </w:t>
      </w:r>
      <w:proofErr w:type="spellStart"/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ppmF</w:t>
      </w:r>
      <w:proofErr w:type="spellEnd"/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.</w:t>
      </w:r>
    </w:p>
    <w:p w14:paraId="295E746D" w14:textId="77777777" w:rsidR="00F3666F" w:rsidRDefault="00F3666F" w:rsidP="00F3666F">
      <w:pPr>
        <w:pStyle w:val="Nessunaspaziatura"/>
        <w:rPr>
          <w:lang w:val="en-US" w:eastAsia="it-IT"/>
        </w:rPr>
      </w:pPr>
    </w:p>
    <w:p w14:paraId="44635534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After brushing, avoid rinsing your mouth with water. </w:t>
      </w:r>
    </w:p>
    <w:p w14:paraId="765A361C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Use dental floss or interdental brushes once daily to clean between your teeth. </w:t>
      </w:r>
    </w:p>
    <w:p w14:paraId="4C53BD3F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If you wear dental prostheses, take good care of them: rinse the denture under running water with soap and ensure all adhesive paste residues are removed. </w:t>
      </w:r>
    </w:p>
    <w:p w14:paraId="0771569F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When your child’s first baby tooth appears, start regular oral hygiene immediately. </w:t>
      </w:r>
    </w:p>
    <w:p w14:paraId="1235C2F5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Encourage and assist your child with brushing their teeth—at least until age 10. </w:t>
      </w:r>
    </w:p>
    <w:p w14:paraId="0AE523E1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Drink water when thirsty, and avoid sweets, sugary drinks, and snacks between meals. </w:t>
      </w:r>
    </w:p>
    <w:p w14:paraId="33E131AC" w14:textId="77777777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After eating acidic foods or drinks, wait at least 30 minutes before brushing. </w:t>
      </w:r>
    </w:p>
    <w:p w14:paraId="1B3B9714" w14:textId="139E1D92" w:rsidR="00F3666F" w:rsidRPr="00F3666F" w:rsidRDefault="00F3666F" w:rsidP="00F3666F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t>Visit your dentist at least once a year, even if you have no issues.</w:t>
      </w:r>
    </w:p>
    <w:p w14:paraId="34E954D4" w14:textId="77777777" w:rsid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581F9E26" w14:textId="2319EEC2" w:rsidR="00F3666F" w:rsidRDefault="00F3666F" w:rsidP="00F3666F">
      <w:pPr>
        <w:spacing w:before="100" w:beforeAutospacing="1" w:after="100" w:afterAutospacing="1"/>
        <w:rPr>
          <w:rFonts w:ascii="Aptos" w:eastAsia="Times New Roman" w:hAnsi="Aptos" w:cs="Times New Roman"/>
          <w:i/>
          <w:iCs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F3666F">
        <w:rPr>
          <w:rFonts w:ascii="Aptos" w:eastAsia="Times New Roman" w:hAnsi="Aptos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Oral Health Education Team:</w:t>
      </w:r>
      <w:r w:rsidRPr="00F3666F"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</w:r>
      <w:r w:rsidRPr="00F3666F">
        <w:rPr>
          <w:rFonts w:ascii="Aptos" w:eastAsia="Times New Roman" w:hAnsi="Aptos" w:cs="Times New Roman"/>
          <w:i/>
          <w:iCs/>
          <w:color w:val="000000"/>
          <w:kern w:val="0"/>
          <w:sz w:val="21"/>
          <w:szCs w:val="21"/>
          <w:lang w:val="en-US" w:eastAsia="it-IT"/>
          <w14:ligatures w14:val="none"/>
        </w:rPr>
        <w:t>Maja Kos, Nina Barbo, Anamarija Kolenc</w:t>
      </w:r>
    </w:p>
    <w:p w14:paraId="21E4E1FF" w14:textId="77777777" w:rsidR="00894365" w:rsidRDefault="00894365" w:rsidP="00F3666F">
      <w:pPr>
        <w:spacing w:before="100" w:beforeAutospacing="1" w:after="100" w:afterAutospacing="1"/>
        <w:rPr>
          <w:rFonts w:ascii="Aptos" w:eastAsia="Times New Roman" w:hAnsi="Aptos" w:cs="Times New Roman"/>
          <w:i/>
          <w:iCs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00D31893" w14:textId="5284FE83" w:rsidR="00894365" w:rsidRPr="00F3666F" w:rsidRDefault="00894365" w:rsidP="00F3666F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>
        <w:rPr>
          <w:rFonts w:ascii="Aptos" w:eastAsia="Times New Roman" w:hAnsi="Aptos" w:cs="Times New Roman"/>
          <w:i/>
          <w:iCs/>
          <w:color w:val="000000"/>
          <w:kern w:val="0"/>
          <w:sz w:val="21"/>
          <w:szCs w:val="21"/>
          <w:lang w:val="en-US" w:eastAsia="it-IT"/>
          <w14:ligatures w14:val="none"/>
        </w:rPr>
        <w:t xml:space="preserve">INSERT THE PHOTO </w:t>
      </w:r>
    </w:p>
    <w:p w14:paraId="15A0A90C" w14:textId="77777777" w:rsidR="00DC256B" w:rsidRPr="00F3666F" w:rsidRDefault="00DC256B">
      <w:pPr>
        <w:rPr>
          <w:sz w:val="21"/>
          <w:szCs w:val="21"/>
          <w:lang w:val="en-US"/>
        </w:rPr>
      </w:pPr>
    </w:p>
    <w:sectPr w:rsidR="00DC256B" w:rsidRPr="00F36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A02E5"/>
    <w:multiLevelType w:val="multilevel"/>
    <w:tmpl w:val="892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6F"/>
    <w:rsid w:val="000623F8"/>
    <w:rsid w:val="00626705"/>
    <w:rsid w:val="0079023B"/>
    <w:rsid w:val="00894365"/>
    <w:rsid w:val="008E1270"/>
    <w:rsid w:val="00B236EB"/>
    <w:rsid w:val="00B83F18"/>
    <w:rsid w:val="00DC256B"/>
    <w:rsid w:val="00E069BC"/>
    <w:rsid w:val="00F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DA0C"/>
  <w15:chartTrackingRefBased/>
  <w15:docId w15:val="{20D6C568-EBED-1544-A413-DF5B1428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6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6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6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6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6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66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66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66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66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66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6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6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6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66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66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66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6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666F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3666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366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3666F"/>
  </w:style>
  <w:style w:type="character" w:styleId="Enfasicorsivo">
    <w:name w:val="Emphasis"/>
    <w:basedOn w:val="Carpredefinitoparagrafo"/>
    <w:uiPriority w:val="20"/>
    <w:qFormat/>
    <w:rsid w:val="00F3666F"/>
    <w:rPr>
      <w:i/>
      <w:iCs/>
    </w:rPr>
  </w:style>
  <w:style w:type="paragraph" w:styleId="Nessunaspaziatura">
    <w:name w:val="No Spacing"/>
    <w:uiPriority w:val="1"/>
    <w:qFormat/>
    <w:rsid w:val="00F3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2</cp:revision>
  <dcterms:created xsi:type="dcterms:W3CDTF">2025-10-14T20:24:00Z</dcterms:created>
  <dcterms:modified xsi:type="dcterms:W3CDTF">2025-10-14T20:31:00Z</dcterms:modified>
</cp:coreProperties>
</file>